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AA1DC6" w:rsidTr="00AA1DC6">
        <w:trPr>
          <w:trHeight w:val="1290"/>
        </w:trPr>
        <w:tc>
          <w:tcPr>
            <w:tcW w:w="9923" w:type="dxa"/>
            <w:hideMark/>
          </w:tcPr>
          <w:p w:rsidR="00AA1DC6" w:rsidRDefault="00AA1DC6">
            <w:pPr>
              <w:spacing w:after="0" w:line="240" w:lineRule="auto"/>
              <w:ind w:left="-436" w:firstLine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704850" cy="733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DC6" w:rsidTr="00AA1DC6">
        <w:tc>
          <w:tcPr>
            <w:tcW w:w="9923" w:type="dxa"/>
          </w:tcPr>
          <w:p w:rsidR="00AA1DC6" w:rsidRDefault="00AA1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КОМИТЕТ</w:t>
            </w:r>
          </w:p>
          <w:p w:rsidR="00AA1DC6" w:rsidRDefault="00AA1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AA1DC6" w:rsidRDefault="00AA1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ДАГЕСТАН</w:t>
            </w:r>
          </w:p>
          <w:p w:rsidR="00AA1DC6" w:rsidRDefault="00AA1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143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6" w:rsidRDefault="00AA1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DC6" w:rsidRDefault="00AA1DC6" w:rsidP="00AA1DC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367000, г. Махачкала, ул. </w:t>
      </w:r>
      <w:proofErr w:type="spellStart"/>
      <w:r>
        <w:rPr>
          <w:rFonts w:ascii="Times New Roman" w:hAnsi="Times New Roman"/>
          <w:b/>
          <w:sz w:val="20"/>
          <w:szCs w:val="20"/>
        </w:rPr>
        <w:t>Даниялова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23          тел: (8722) 56-20-32              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>: dagvino2021@bk.ru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67450" cy="5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DC6" w:rsidRDefault="00AA1DC6" w:rsidP="00AA1DC6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val="en-US"/>
        </w:rPr>
      </w:pPr>
    </w:p>
    <w:p w:rsidR="00AA1DC6" w:rsidRDefault="00AA1DC6" w:rsidP="00AA1DC6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«____» _________2023 г.                             №_____________________</w:t>
      </w:r>
    </w:p>
    <w:p w:rsidR="00AA1DC6" w:rsidRDefault="00AA1DC6" w:rsidP="00AA1DC6">
      <w:pPr>
        <w:pStyle w:val="ConsPlusTitle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 Р И К А З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основных средств и оборудования подлежащих субсидированию в соответствии с постановлением Правительства Республики Дагестан от 12 августа 2022 года № 260 «Об утверждении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DC6" w:rsidRDefault="00AA1DC6" w:rsidP="00AA1DC6">
      <w:pPr>
        <w:pStyle w:val="ConsPlusNormal"/>
        <w:ind w:firstLine="540"/>
        <w:jc w:val="both"/>
        <w:rPr>
          <w:sz w:val="28"/>
          <w:szCs w:val="28"/>
        </w:rPr>
      </w:pPr>
    </w:p>
    <w:p w:rsidR="00AA1DC6" w:rsidRDefault="00AA1DC6" w:rsidP="00AA1DC6">
      <w:pPr>
        <w:pStyle w:val="ConsPlusNormal"/>
        <w:ind w:firstLine="540"/>
        <w:jc w:val="both"/>
        <w:rPr>
          <w:sz w:val="28"/>
          <w:szCs w:val="28"/>
        </w:rPr>
      </w:pPr>
    </w:p>
    <w:p w:rsidR="00AA1DC6" w:rsidRDefault="00AA1DC6" w:rsidP="00AA1DC6">
      <w:pPr>
        <w:pStyle w:val="ConsPlusNormal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Дагестан, утвержденного постановлением Правительства Республики Дагестан от 12 августа 2022 г. №260 «Об утверждении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Дагестан»,            </w:t>
      </w:r>
      <w:r>
        <w:rPr>
          <w:b/>
          <w:sz w:val="28"/>
          <w:szCs w:val="28"/>
        </w:rPr>
        <w:t>п р и к а з ы в а ю:</w:t>
      </w:r>
    </w:p>
    <w:p w:rsidR="00AA1DC6" w:rsidRDefault="00AA1DC6" w:rsidP="00AA1DC6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основных средств и оборудования, подлежащих субсидированию в соответствии с постановлением Правительства Республики Дагестан от 12 августа 2022 года №260 «Об утверждении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Дагестан», согласно </w:t>
      </w:r>
      <w:hyperlink r:id="rId10" w:anchor="Par32" w:tooltip="ПЕРЕЧЕНЬ (НАИМЕНОВАНИЯ)" w:history="1">
        <w:r>
          <w:rPr>
            <w:rStyle w:val="a7"/>
            <w:color w:val="000000"/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к настоящему приказу.</w:t>
      </w:r>
    </w:p>
    <w:p w:rsidR="00AA1DC6" w:rsidRDefault="00AA1DC6" w:rsidP="00AA1DC6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Комитета по виноградарству и </w:t>
      </w:r>
      <w:r>
        <w:rPr>
          <w:sz w:val="28"/>
          <w:szCs w:val="28"/>
        </w:rPr>
        <w:lastRenderedPageBreak/>
        <w:t>алкогольному регулированию Республики Дагестан от 31 августа 2022 г.          № 05-05-126/22 «Об утверждении перечня основных средств и оборудования, подлежащих субсидированию в соответствии с постановлением Правительства Республики Дагестан от 12 августа 2022 года № 260 «Об утверждении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 (официальный интернет-портал правовой информации Республики Дагестан (</w:t>
      </w:r>
      <w:hyperlink r:id="rId11" w:history="1">
        <w:r>
          <w:rPr>
            <w:rStyle w:val="a7"/>
            <w:color w:val="000000"/>
            <w:sz w:val="28"/>
            <w:szCs w:val="28"/>
          </w:rPr>
          <w:t>http://pravo.e-dag.ru</w:t>
        </w:r>
      </w:hyperlink>
      <w:r>
        <w:rPr>
          <w:sz w:val="28"/>
          <w:szCs w:val="28"/>
        </w:rPr>
        <w:t>), 2022, 14 сентября, № 05043009624; 2022, 2 ноября, №05043009891)</w:t>
      </w:r>
    </w:p>
    <w:p w:rsidR="00AA1DC6" w:rsidRDefault="00AA1DC6" w:rsidP="00AA1DC6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AA1DC6" w:rsidRDefault="00AA1DC6" w:rsidP="00AA1DC6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данный приказ в информационно-телекоммуникационной сети «Интернет» на официальном сайте Комитета по виноградарству и алкогольному регулированию Республики Дагестан (</w:t>
      </w:r>
      <w:hyperlink r:id="rId12" w:history="1">
        <w:r>
          <w:rPr>
            <w:rStyle w:val="a7"/>
            <w:color w:val="000000"/>
            <w:sz w:val="28"/>
            <w:szCs w:val="28"/>
          </w:rPr>
          <w:t>www.комитетдагвино.рф</w:t>
        </w:r>
      </w:hyperlink>
      <w:r>
        <w:rPr>
          <w:sz w:val="28"/>
          <w:szCs w:val="28"/>
        </w:rPr>
        <w:t>).</w:t>
      </w:r>
    </w:p>
    <w:p w:rsidR="00AA1DC6" w:rsidRDefault="00AA1DC6" w:rsidP="00AA1DC6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AA1DC6" w:rsidRDefault="00AA1DC6" w:rsidP="00AA1DC6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приказа возложить на заместителя председателя комитета – начальника отдела развития виноградарства и виноградного </w:t>
      </w:r>
      <w:proofErr w:type="spellStart"/>
      <w:r>
        <w:rPr>
          <w:sz w:val="28"/>
          <w:szCs w:val="28"/>
        </w:rPr>
        <w:t>питомниководства</w:t>
      </w:r>
      <w:proofErr w:type="spellEnd"/>
      <w:r>
        <w:rPr>
          <w:sz w:val="28"/>
          <w:szCs w:val="28"/>
        </w:rPr>
        <w:t xml:space="preserve"> Ахмедова А.М.</w:t>
      </w:r>
    </w:p>
    <w:p w:rsidR="00AA1DC6" w:rsidRDefault="00AA1DC6" w:rsidP="00AA1DC6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</w:p>
    <w:p w:rsidR="00AA1DC6" w:rsidRDefault="00AA1DC6" w:rsidP="00AA1DC6">
      <w:pPr>
        <w:pStyle w:val="ConsPlusNormal"/>
        <w:tabs>
          <w:tab w:val="left" w:pos="851"/>
        </w:tabs>
        <w:spacing w:line="360" w:lineRule="auto"/>
        <w:ind w:firstLine="567"/>
        <w:jc w:val="both"/>
      </w:pPr>
      <w:r>
        <w:rPr>
          <w:sz w:val="28"/>
          <w:szCs w:val="28"/>
        </w:rPr>
        <w:t xml:space="preserve">Председатель комитета                                     Ш.М. </w:t>
      </w:r>
      <w:proofErr w:type="spellStart"/>
      <w:r>
        <w:rPr>
          <w:sz w:val="28"/>
          <w:szCs w:val="28"/>
        </w:rPr>
        <w:t>Керимханов</w:t>
      </w:r>
      <w:proofErr w:type="spellEnd"/>
      <w:r>
        <w:t xml:space="preserve">           </w:t>
      </w: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/>
        <w:jc w:val="right"/>
        <w:outlineLvl w:val="0"/>
        <w:rPr>
          <w:sz w:val="28"/>
          <w:szCs w:val="28"/>
        </w:rPr>
      </w:pPr>
    </w:p>
    <w:p w:rsidR="00AA1DC6" w:rsidRDefault="00AA1DC6" w:rsidP="00AA1DC6">
      <w:pPr>
        <w:pStyle w:val="ConsPlusNormal"/>
        <w:ind w:right="142" w:firstLine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 w:rsidR="00AA1DC6" w:rsidRDefault="00AA1DC6" w:rsidP="00AA1DC6">
      <w:pPr>
        <w:pStyle w:val="ConsPlusNormal"/>
        <w:ind w:right="142"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Дагвино</w:t>
      </w:r>
    </w:p>
    <w:p w:rsidR="00AA1DC6" w:rsidRDefault="00AA1DC6" w:rsidP="00AA1DC6">
      <w:pPr>
        <w:pStyle w:val="ConsPlusNormal"/>
        <w:ind w:right="142"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___________2023 г.</w:t>
      </w:r>
    </w:p>
    <w:p w:rsidR="00AA1DC6" w:rsidRDefault="00AA1DC6" w:rsidP="00AA1DC6">
      <w:pPr>
        <w:pStyle w:val="ConsPlusNormal"/>
        <w:ind w:right="142" w:firstLine="5103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_____________________</w:t>
      </w:r>
    </w:p>
    <w:p w:rsidR="00AA1DC6" w:rsidRDefault="00AA1DC6" w:rsidP="00AA1DC6">
      <w:pPr>
        <w:pStyle w:val="ConsPlusNormal"/>
        <w:ind w:firstLine="5954"/>
        <w:jc w:val="center"/>
        <w:rPr>
          <w:sz w:val="28"/>
          <w:szCs w:val="28"/>
        </w:rPr>
      </w:pP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sz w:val="28"/>
          <w:szCs w:val="28"/>
        </w:rPr>
        <w:t>ПЕРЕЧЕНЬ (НАИМЕНОВАНИЯ)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СЕЛЬСКОХОЗЯЙСТВЕННОЙ ТЕХНИКИ, МАШИН И ОБОРУДОВАНИЯ</w:t>
      </w:r>
    </w:p>
    <w:p w:rsidR="00AA1DC6" w:rsidRDefault="00AA1DC6" w:rsidP="00AA1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80"/>
      </w:tblGrid>
      <w:tr w:rsidR="00AA1DC6" w:rsidTr="00AA1DC6">
        <w:trPr>
          <w:trHeight w:val="1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 w:rsidP="004D5D77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0" w:firstLine="0"/>
              <w:contextualSpacing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СРЕДСТВА</w:t>
            </w:r>
          </w:p>
        </w:tc>
      </w:tr>
      <w:tr w:rsidR="00AA1DC6" w:rsidTr="00AA1DC6">
        <w:trPr>
          <w:trHeight w:val="184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Сельскохозяйственная техника</w:t>
            </w:r>
          </w:p>
        </w:tc>
      </w:tr>
      <w:tr w:rsidR="00AA1DC6" w:rsidTr="00AA1DC6">
        <w:trPr>
          <w:trHeight w:val="7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Тракторы сельскохозяйственные общего назначения, тракторы сельскохозяйственные универсальные, тракторы сельскохозяйственные универсально-пропашные, тракторы промышленные, тракторы гусеничные и тракторы специальные</w:t>
            </w:r>
          </w:p>
        </w:tc>
      </w:tr>
      <w:tr w:rsidR="00AA1DC6" w:rsidTr="00AA1DC6">
        <w:trPr>
          <w:trHeight w:val="39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Комбайны виноградоуборочные</w:t>
            </w:r>
          </w:p>
        </w:tc>
      </w:tr>
      <w:tr w:rsidR="00AA1DC6" w:rsidTr="00AA1DC6">
        <w:trPr>
          <w:trHeight w:val="1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Плуги </w:t>
            </w:r>
            <w:proofErr w:type="spellStart"/>
            <w:r>
              <w:rPr>
                <w:sz w:val="28"/>
                <w:szCs w:val="28"/>
              </w:rPr>
              <w:t>рыхлительные</w:t>
            </w:r>
            <w:proofErr w:type="spellEnd"/>
            <w:r>
              <w:rPr>
                <w:sz w:val="28"/>
                <w:szCs w:val="28"/>
              </w:rPr>
              <w:t xml:space="preserve">, глубокорыхлители почвы,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выкопочные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плуги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Агрегаты дисковые, </w:t>
            </w:r>
            <w:hyperlink r:id="rId13" w:history="1">
              <w:r>
                <w:rPr>
                  <w:rStyle w:val="a7"/>
                  <w:color w:val="000000"/>
                  <w:sz w:val="28"/>
                  <w:szCs w:val="28"/>
                </w:rPr>
                <w:t>дисковые бороны</w:t>
              </w:r>
            </w:hyperlink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Культиваторы, в том числе </w:t>
            </w:r>
            <w:proofErr w:type="spellStart"/>
            <w:r>
              <w:rPr>
                <w:sz w:val="28"/>
                <w:szCs w:val="28"/>
              </w:rPr>
              <w:t>чизельные</w:t>
            </w:r>
            <w:proofErr w:type="spellEnd"/>
            <w:r>
              <w:rPr>
                <w:sz w:val="28"/>
                <w:szCs w:val="28"/>
              </w:rPr>
              <w:t xml:space="preserve"> и фрезерные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Опрыскиватели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Разбрасыватели удобрений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Прицепы, полуприцепы и </w:t>
            </w:r>
            <w:r>
              <w:rPr>
                <w:rFonts w:eastAsia="Times New Roman"/>
                <w:sz w:val="28"/>
                <w:szCs w:val="28"/>
              </w:rPr>
              <w:t>прицепные садовые платформы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внесения гербицидов (</w:t>
            </w:r>
            <w:proofErr w:type="spellStart"/>
            <w:r>
              <w:rPr>
                <w:sz w:val="28"/>
                <w:szCs w:val="28"/>
              </w:rPr>
              <w:t>гербицидники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Измельчители</w:t>
            </w:r>
            <w:proofErr w:type="spellEnd"/>
            <w:r>
              <w:rPr>
                <w:sz w:val="28"/>
                <w:szCs w:val="28"/>
              </w:rPr>
              <w:t xml:space="preserve"> лозы (включая </w:t>
            </w:r>
            <w:proofErr w:type="spellStart"/>
            <w:r>
              <w:rPr>
                <w:sz w:val="28"/>
                <w:szCs w:val="28"/>
              </w:rPr>
              <w:t>измельчители</w:t>
            </w:r>
            <w:proofErr w:type="spellEnd"/>
            <w:r>
              <w:rPr>
                <w:sz w:val="28"/>
                <w:szCs w:val="28"/>
              </w:rPr>
              <w:t xml:space="preserve"> лозы с подборщиком)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Обрезчики кустов и деревьев, машины для обрезки и подвязки лозы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Столбоставы</w:t>
            </w:r>
            <w:proofErr w:type="spellEnd"/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Обломщики</w:t>
            </w:r>
            <w:proofErr w:type="spellEnd"/>
            <w:r>
              <w:rPr>
                <w:sz w:val="28"/>
                <w:szCs w:val="28"/>
              </w:rPr>
              <w:t xml:space="preserve"> поросли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Фрезы почвенные (</w:t>
            </w:r>
            <w:proofErr w:type="spellStart"/>
            <w:r>
              <w:rPr>
                <w:sz w:val="28"/>
                <w:szCs w:val="28"/>
              </w:rPr>
              <w:t>почвофрезы</w:t>
            </w:r>
            <w:proofErr w:type="spellEnd"/>
            <w:r>
              <w:rPr>
                <w:sz w:val="28"/>
                <w:szCs w:val="28"/>
              </w:rPr>
              <w:t>, междурядная, боковые фрезы, фрезы  приствольной обработки)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Лозоподборщики</w:t>
            </w:r>
            <w:proofErr w:type="spellEnd"/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Мульчеры</w:t>
            </w:r>
            <w:proofErr w:type="spellEnd"/>
            <w:r>
              <w:rPr>
                <w:sz w:val="28"/>
                <w:szCs w:val="28"/>
              </w:rPr>
              <w:t xml:space="preserve"> сельскохозяйственные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Корчеватели</w:t>
            </w:r>
          </w:p>
        </w:tc>
      </w:tr>
      <w:tr w:rsidR="00AA1DC6" w:rsidTr="00AA1DC6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Агрегаты и машины для </w:t>
            </w:r>
            <w:proofErr w:type="spellStart"/>
            <w:r>
              <w:rPr>
                <w:sz w:val="28"/>
                <w:szCs w:val="28"/>
              </w:rPr>
              <w:t>межкустовой</w:t>
            </w:r>
            <w:proofErr w:type="spellEnd"/>
            <w:r>
              <w:rPr>
                <w:sz w:val="28"/>
                <w:szCs w:val="28"/>
              </w:rPr>
              <w:t xml:space="preserve"> обработки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Агрегаты для разматывания шпалерной проволоки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Буры, ямокопатели, </w:t>
            </w:r>
            <w:r>
              <w:rPr>
                <w:rFonts w:eastAsia="Times New Roman"/>
                <w:sz w:val="28"/>
                <w:szCs w:val="28"/>
              </w:rPr>
              <w:t>канавокопатели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Пневмо</w:t>
            </w:r>
            <w:proofErr w:type="spellEnd"/>
            <w:r>
              <w:rPr>
                <w:sz w:val="28"/>
                <w:szCs w:val="28"/>
              </w:rPr>
              <w:t xml:space="preserve"> - и </w:t>
            </w:r>
            <w:proofErr w:type="spellStart"/>
            <w:r>
              <w:rPr>
                <w:sz w:val="28"/>
                <w:szCs w:val="28"/>
              </w:rPr>
              <w:t>электросекаторы</w:t>
            </w:r>
            <w:proofErr w:type="spellEnd"/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Подрезчики корней</w:t>
            </w:r>
          </w:p>
        </w:tc>
      </w:tr>
      <w:tr w:rsidR="00AA1DC6" w:rsidTr="00AA1DC6">
        <w:trPr>
          <w:trHeight w:val="1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Агрегат посадочный</w:t>
            </w:r>
          </w:p>
        </w:tc>
      </w:tr>
      <w:tr w:rsidR="00AA1DC6" w:rsidTr="00AA1DC6">
        <w:trPr>
          <w:trHeight w:val="1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 w:rsidP="004D5D77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spacing w:line="256" w:lineRule="auto"/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Чеканочная машина для винограда </w:t>
            </w:r>
          </w:p>
        </w:tc>
      </w:tr>
      <w:tr w:rsidR="00AA1DC6" w:rsidTr="00AA1DC6">
        <w:trPr>
          <w:trHeight w:val="1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 Машины</w:t>
            </w:r>
          </w:p>
        </w:tc>
      </w:tr>
      <w:tr w:rsidR="00AA1DC6" w:rsidTr="00AA1DC6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0"/>
              </w:tabs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Машины посудомоечные промышленного типа</w:t>
            </w:r>
          </w:p>
        </w:tc>
      </w:tr>
      <w:tr w:rsidR="00AA1DC6" w:rsidTr="00AA1DC6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0"/>
              </w:tabs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Многофункциональные машины для ухода за садами и виноградниками, ягодными плантациями</w:t>
            </w:r>
          </w:p>
        </w:tc>
      </w:tr>
      <w:tr w:rsidR="00AA1DC6" w:rsidTr="00AA1DC6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C6" w:rsidRDefault="00AA1DC6">
            <w:pPr>
              <w:pStyle w:val="ConsPlusNormal"/>
              <w:tabs>
                <w:tab w:val="left" w:pos="0"/>
              </w:tabs>
              <w:spacing w:line="256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 w:rsidP="004D5D77">
            <w:pPr>
              <w:pStyle w:val="ConsPlusNormal"/>
              <w:numPr>
                <w:ilvl w:val="0"/>
                <w:numId w:val="4"/>
              </w:numPr>
              <w:spacing w:line="256" w:lineRule="auto"/>
              <w:ind w:left="0" w:firstLine="0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Иные основные средства</w:t>
            </w:r>
          </w:p>
        </w:tc>
      </w:tr>
      <w:tr w:rsidR="00AA1DC6" w:rsidTr="00AA1DC6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spacing w:line="256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Формокомплекты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для бутылок</w:t>
            </w:r>
          </w:p>
        </w:tc>
      </w:tr>
      <w:tr w:rsidR="00AA1DC6" w:rsidTr="00AA1DC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II. ОБОРУДОВАНИЕ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Транспортеры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Нории, конвейеры.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Камеры холодильные сборные для пищевой промышленности</w:t>
            </w:r>
          </w:p>
        </w:tc>
      </w:tr>
      <w:tr w:rsidR="00AA1DC6" w:rsidTr="00AA1DC6">
        <w:trPr>
          <w:trHeight w:val="2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Насосы возвратно-поступательные объемного действия, шестеренные, винтовые, коловратные для перекачки жидкостей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Насосы, насосы вакуумные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Конвейеры подвесные пространственные, конвейеры цепные для пищевой промышленности</w:t>
            </w:r>
          </w:p>
        </w:tc>
      </w:tr>
      <w:tr w:rsidR="00AA1DC6" w:rsidTr="00AA1DC6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Аппараты теплообменные пластинчатые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Водоподогреватели</w:t>
            </w:r>
            <w:proofErr w:type="spellEnd"/>
            <w:r>
              <w:rPr>
                <w:sz w:val="28"/>
                <w:szCs w:val="28"/>
              </w:rPr>
              <w:t xml:space="preserve"> емкостные </w:t>
            </w:r>
            <w:proofErr w:type="spellStart"/>
            <w:r>
              <w:rPr>
                <w:sz w:val="28"/>
                <w:szCs w:val="28"/>
              </w:rPr>
              <w:t>небытового</w:t>
            </w:r>
            <w:proofErr w:type="spellEnd"/>
            <w:r>
              <w:rPr>
                <w:sz w:val="28"/>
                <w:szCs w:val="28"/>
              </w:rPr>
              <w:t xml:space="preserve"> назначения (рекуператоры)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мойки бутылок и прочих емкостей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розлива, закупоривания и упаковывания бутылок и прочих емкостей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пищевой промышленности для упаковывания бутылок и прочих емкостей в </w:t>
            </w:r>
            <w:proofErr w:type="spellStart"/>
            <w:r>
              <w:rPr>
                <w:sz w:val="28"/>
                <w:szCs w:val="28"/>
              </w:rPr>
              <w:t>термоусадочную</w:t>
            </w:r>
            <w:proofErr w:type="spellEnd"/>
            <w:r>
              <w:rPr>
                <w:sz w:val="28"/>
                <w:szCs w:val="28"/>
              </w:rPr>
              <w:t xml:space="preserve"> пленку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пищевой промышленности для упаковывания бутылок и прочих емкостей в картонную тару</w:t>
            </w:r>
          </w:p>
        </w:tc>
      </w:tr>
      <w:tr w:rsidR="00AA1DC6" w:rsidTr="00AA1DC6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Установки </w:t>
            </w:r>
            <w:proofErr w:type="spellStart"/>
            <w:r>
              <w:rPr>
                <w:sz w:val="28"/>
                <w:szCs w:val="28"/>
              </w:rPr>
              <w:t>пастеризационно</w:t>
            </w:r>
            <w:proofErr w:type="spellEnd"/>
            <w:r>
              <w:rPr>
                <w:sz w:val="28"/>
                <w:szCs w:val="28"/>
              </w:rPr>
              <w:t xml:space="preserve">-охладительные, </w:t>
            </w:r>
            <w:proofErr w:type="spellStart"/>
            <w:r>
              <w:rPr>
                <w:sz w:val="28"/>
                <w:szCs w:val="28"/>
              </w:rPr>
              <w:t>стерилизационно</w:t>
            </w:r>
            <w:proofErr w:type="spellEnd"/>
            <w:r>
              <w:rPr>
                <w:sz w:val="28"/>
                <w:szCs w:val="28"/>
              </w:rPr>
              <w:t xml:space="preserve"> -охладительные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Установки </w:t>
            </w:r>
            <w:proofErr w:type="spellStart"/>
            <w:r>
              <w:rPr>
                <w:sz w:val="28"/>
                <w:szCs w:val="28"/>
              </w:rPr>
              <w:t>деаэрационные</w:t>
            </w:r>
            <w:proofErr w:type="spellEnd"/>
            <w:r>
              <w:rPr>
                <w:sz w:val="28"/>
                <w:szCs w:val="28"/>
              </w:rPr>
              <w:t xml:space="preserve"> для пищевой промышленности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Аспираторы и сортирующие устройства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маркировки, включая средства автоматизации и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мойки сельскохозяйственной продукции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Раздаточные линии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Стерилизаторы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Ферментеры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Парогенераторы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Компрессорные установки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Емкости для перевозки, хранения, перекачки жидкостей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Морозильное и холодильное оборудование сельскохозяйственного назначения</w:t>
            </w:r>
          </w:p>
        </w:tc>
      </w:tr>
      <w:tr w:rsidR="00AA1DC6" w:rsidTr="00AA1DC6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виноделия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Фильтр прессы</w:t>
            </w:r>
          </w:p>
        </w:tc>
      </w:tr>
      <w:tr w:rsidR="00AA1DC6" w:rsidTr="00AA1D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567"/>
              </w:tabs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C6" w:rsidRDefault="00AA1DC6">
            <w:pPr>
              <w:pStyle w:val="ConsPlusNormal"/>
              <w:tabs>
                <w:tab w:val="left" w:pos="426"/>
              </w:tabs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бесперебойного питания</w:t>
            </w:r>
          </w:p>
        </w:tc>
      </w:tr>
    </w:tbl>
    <w:p w:rsidR="00AA1DC6" w:rsidRDefault="00AA1DC6" w:rsidP="00AA1DC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663B2" w:rsidRDefault="00D663B2"/>
    <w:sectPr w:rsidR="00D663B2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0C" w:rsidRDefault="00046C0C" w:rsidP="00AA1DC6">
      <w:pPr>
        <w:spacing w:after="0" w:line="240" w:lineRule="auto"/>
      </w:pPr>
      <w:r>
        <w:separator/>
      </w:r>
    </w:p>
  </w:endnote>
  <w:endnote w:type="continuationSeparator" w:id="0">
    <w:p w:rsidR="00046C0C" w:rsidRDefault="00046C0C" w:rsidP="00AA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0C" w:rsidRDefault="00046C0C" w:rsidP="00AA1DC6">
      <w:pPr>
        <w:spacing w:after="0" w:line="240" w:lineRule="auto"/>
      </w:pPr>
      <w:r>
        <w:separator/>
      </w:r>
    </w:p>
  </w:footnote>
  <w:footnote w:type="continuationSeparator" w:id="0">
    <w:p w:rsidR="00046C0C" w:rsidRDefault="00046C0C" w:rsidP="00AA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C6" w:rsidRDefault="00AA1DC6" w:rsidP="00AA1DC6">
    <w:pPr>
      <w:pStyle w:val="a3"/>
      <w:tabs>
        <w:tab w:val="clear" w:pos="4677"/>
        <w:tab w:val="clear" w:pos="9355"/>
        <w:tab w:val="left" w:pos="819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992"/>
    <w:multiLevelType w:val="hybridMultilevel"/>
    <w:tmpl w:val="139E0212"/>
    <w:lvl w:ilvl="0" w:tplc="B2FC013E">
      <w:start w:val="3"/>
      <w:numFmt w:val="decimal"/>
      <w:lvlText w:val="%1."/>
      <w:lvlJc w:val="left"/>
      <w:pPr>
        <w:ind w:left="89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AEF1C35"/>
    <w:multiLevelType w:val="hybridMultilevel"/>
    <w:tmpl w:val="24FC1F1C"/>
    <w:lvl w:ilvl="0" w:tplc="7EEA40F4">
      <w:start w:val="1"/>
      <w:numFmt w:val="decimal"/>
      <w:lvlText w:val="%1."/>
      <w:lvlJc w:val="left"/>
      <w:pPr>
        <w:ind w:left="89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 w15:restartNumberingAfterBreak="0">
    <w:nsid w:val="43F125D6"/>
    <w:multiLevelType w:val="hybridMultilevel"/>
    <w:tmpl w:val="FD009486"/>
    <w:lvl w:ilvl="0" w:tplc="40E888E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D96314"/>
    <w:multiLevelType w:val="hybridMultilevel"/>
    <w:tmpl w:val="9C6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27"/>
    <w:rsid w:val="00046C0C"/>
    <w:rsid w:val="009B7B27"/>
    <w:rsid w:val="00AA1DC6"/>
    <w:rsid w:val="00D6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A6DC"/>
  <w15:chartTrackingRefBased/>
  <w15:docId w15:val="{9FCE47F6-DE99-43FF-BB80-F28B904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DC6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DC6"/>
  </w:style>
  <w:style w:type="paragraph" w:styleId="a5">
    <w:name w:val="footer"/>
    <w:basedOn w:val="a"/>
    <w:link w:val="a6"/>
    <w:uiPriority w:val="99"/>
    <w:unhideWhenUsed/>
    <w:rsid w:val="00AA1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DC6"/>
  </w:style>
  <w:style w:type="character" w:styleId="a7">
    <w:name w:val="Hyperlink"/>
    <w:basedOn w:val="a0"/>
    <w:uiPriority w:val="99"/>
    <w:semiHidden/>
    <w:unhideWhenUsed/>
    <w:rsid w:val="00AA1DC6"/>
    <w:rPr>
      <w:rFonts w:ascii="Times New Roman" w:hAnsi="Times New Roman" w:cs="Times New Roman" w:hint="default"/>
      <w:color w:val="0563C1" w:themeColor="hyperlink"/>
      <w:u w:val="single"/>
      <w14:textFill>
        <w14:solidFill>
          <w14:srgbClr w14:val="000000"/>
        </w14:solidFill>
      </w14:textFill>
    </w:rPr>
  </w:style>
  <w:style w:type="paragraph" w:customStyle="1" w:styleId="ConsPlusNormal">
    <w:name w:val="ConsPlusNormal"/>
    <w:rsid w:val="00AA1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A1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br.ru/borony/diskovye/bd-2-4h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&#1082;&#1086;&#1084;&#1080;&#1090;&#1077;&#1090;&#1076;&#1072;&#1075;&#1074;&#1080;&#1085;&#1086;.&#1088;&#1092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e-dag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0;&#1076;&#1084;&#1080;&#1085;\Desktop\&#1057;&#1086;&#1087;&#1088;&#1086;&#1074;&#1086;&#1076;&#1099;%20&#1052;&#1070;\&#1096;&#1072;&#1084;&#1080;&#1083;&#1100;\&#1087;&#1088;&#1086;&#1077;&#1082;&#1090;%20&#1087;&#1088;&#1080;&#1082;&#1072;&#1079;&#1072;.rt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2023-04-03T06:10:00Z</dcterms:created>
  <dcterms:modified xsi:type="dcterms:W3CDTF">2023-04-03T06:13:00Z</dcterms:modified>
</cp:coreProperties>
</file>